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F6" w:rsidRDefault="000F0CF6" w:rsidP="000F0CF6">
      <w:pPr>
        <w:spacing w:after="0"/>
        <w:jc w:val="center"/>
        <w:rPr>
          <w:rFonts w:ascii="Book Antiqua" w:eastAsia="Calibri" w:hAnsi="Book Antiqua"/>
          <w:b/>
          <w:sz w:val="24"/>
          <w:szCs w:val="24"/>
          <w:u w:val="single"/>
        </w:rPr>
      </w:pPr>
      <w:r>
        <w:rPr>
          <w:rFonts w:ascii="Book Antiqua" w:hAnsi="Book Antiqua"/>
          <w:b/>
          <w:sz w:val="24"/>
          <w:szCs w:val="24"/>
          <w:u w:val="single"/>
        </w:rPr>
        <w:t>ANNEXURE-I</w:t>
      </w:r>
      <w:r>
        <w:rPr>
          <w:rFonts w:ascii="Book Antiqua" w:hAnsi="Book Antiqua"/>
          <w:b/>
          <w:sz w:val="24"/>
          <w:szCs w:val="24"/>
          <w:u w:val="single"/>
        </w:rPr>
        <w:t>I</w:t>
      </w:r>
      <w:bookmarkStart w:id="0" w:name="_GoBack"/>
      <w:bookmarkEnd w:id="0"/>
    </w:p>
    <w:p w:rsidR="000F0CF6" w:rsidRDefault="000F0CF6" w:rsidP="007F1F90">
      <w:pPr>
        <w:spacing w:after="0" w:line="360" w:lineRule="auto"/>
        <w:jc w:val="center"/>
        <w:rPr>
          <w:rFonts w:ascii="Book Antiqua" w:hAnsi="Book Antiqua"/>
          <w:b/>
          <w:sz w:val="24"/>
          <w:szCs w:val="24"/>
          <w:u w:val="single"/>
        </w:rPr>
      </w:pPr>
    </w:p>
    <w:p w:rsidR="007F1F90" w:rsidRPr="00C7779C" w:rsidRDefault="007F1F90" w:rsidP="007F1F90">
      <w:pPr>
        <w:spacing w:after="0" w:line="360" w:lineRule="auto"/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C7779C">
        <w:rPr>
          <w:rFonts w:ascii="Book Antiqua" w:hAnsi="Book Antiqua"/>
          <w:b/>
          <w:sz w:val="24"/>
          <w:szCs w:val="24"/>
          <w:u w:val="single"/>
        </w:rPr>
        <w:t>True-Up filings for FY 2024-25 and Annual Tariff Petition for FY 2026-27</w:t>
      </w:r>
    </w:p>
    <w:p w:rsidR="007F1F90" w:rsidRPr="00C7779C" w:rsidRDefault="007F1F90" w:rsidP="007F1F90">
      <w:pPr>
        <w:tabs>
          <w:tab w:val="left" w:pos="709"/>
          <w:tab w:val="left" w:pos="851"/>
        </w:tabs>
        <w:spacing w:before="88" w:after="0" w:line="360" w:lineRule="auto"/>
        <w:ind w:left="4" w:right="142"/>
        <w:jc w:val="center"/>
        <w:rPr>
          <w:rFonts w:ascii="Book Antiqua" w:hAnsi="Book Antiqua"/>
          <w:b/>
          <w:sz w:val="24"/>
          <w:szCs w:val="24"/>
          <w:u w:val="single"/>
        </w:rPr>
      </w:pPr>
      <w:proofErr w:type="spellStart"/>
      <w:r>
        <w:rPr>
          <w:rFonts w:ascii="Book Antiqua" w:hAnsi="Book Antiqua"/>
          <w:b/>
          <w:sz w:val="24"/>
          <w:szCs w:val="24"/>
          <w:u w:val="single"/>
        </w:rPr>
        <w:t>Replie</w:t>
      </w:r>
      <w:proofErr w:type="spellEnd"/>
      <w:r w:rsidRPr="00C7779C">
        <w:rPr>
          <w:rFonts w:ascii="Book Antiqua" w:hAnsi="Book Antiqua"/>
          <w:b/>
          <w:sz w:val="24"/>
          <w:szCs w:val="24"/>
          <w:u w:val="single"/>
        </w:rPr>
        <w:t xml:space="preserve"> to submissions on SLDC Business Activity</w:t>
      </w:r>
      <w:r>
        <w:rPr>
          <w:rFonts w:ascii="Book Antiqua" w:hAnsi="Book Antiqua"/>
          <w:b/>
          <w:sz w:val="24"/>
          <w:szCs w:val="24"/>
          <w:u w:val="single"/>
        </w:rPr>
        <w:t xml:space="preserve"> O.P. No.69 of </w:t>
      </w:r>
      <w:proofErr w:type="gramStart"/>
      <w:r>
        <w:rPr>
          <w:rFonts w:ascii="Book Antiqua" w:hAnsi="Book Antiqua"/>
          <w:b/>
          <w:sz w:val="24"/>
          <w:szCs w:val="24"/>
          <w:u w:val="single"/>
        </w:rPr>
        <w:t>2025</w:t>
      </w:r>
      <w:r w:rsidRPr="00C7779C">
        <w:rPr>
          <w:rFonts w:ascii="Book Antiqua" w:hAnsi="Book Antiqua"/>
          <w:b/>
          <w:sz w:val="24"/>
          <w:szCs w:val="24"/>
          <w:u w:val="single"/>
        </w:rPr>
        <w:t xml:space="preserve"> </w:t>
      </w:r>
      <w:r>
        <w:rPr>
          <w:rFonts w:ascii="Book Antiqua" w:hAnsi="Book Antiqua"/>
          <w:b/>
          <w:sz w:val="24"/>
          <w:szCs w:val="24"/>
          <w:u w:val="single"/>
        </w:rPr>
        <w:t xml:space="preserve"> by</w:t>
      </w:r>
      <w:proofErr w:type="gramEnd"/>
      <w:r>
        <w:rPr>
          <w:rFonts w:ascii="Book Antiqua" w:hAnsi="Book Antiqua"/>
          <w:b/>
          <w:sz w:val="24"/>
          <w:szCs w:val="24"/>
          <w:u w:val="single"/>
        </w:rPr>
        <w:t xml:space="preserve"> Sri R.V. </w:t>
      </w:r>
      <w:proofErr w:type="spellStart"/>
      <w:r>
        <w:rPr>
          <w:rFonts w:ascii="Book Antiqua" w:hAnsi="Book Antiqua"/>
          <w:b/>
          <w:sz w:val="24"/>
          <w:szCs w:val="24"/>
          <w:u w:val="single"/>
        </w:rPr>
        <w:t>Subba</w:t>
      </w:r>
      <w:proofErr w:type="spellEnd"/>
      <w:r>
        <w:rPr>
          <w:rFonts w:ascii="Book Antiqua" w:hAnsi="Book Antiqua"/>
          <w:b/>
          <w:sz w:val="24"/>
          <w:szCs w:val="24"/>
          <w:u w:val="single"/>
        </w:rPr>
        <w:t xml:space="preserve"> Rao.</w:t>
      </w:r>
    </w:p>
    <w:p w:rsidR="007F1F90" w:rsidRPr="00C7779C" w:rsidRDefault="007F1F90" w:rsidP="007F1F90">
      <w:pPr>
        <w:spacing w:before="88" w:after="0"/>
        <w:ind w:left="4" w:right="142"/>
        <w:jc w:val="both"/>
        <w:rPr>
          <w:rFonts w:ascii="Book Antiqua" w:hAnsi="Book Antiqua"/>
          <w:b/>
          <w:sz w:val="16"/>
          <w:szCs w:val="24"/>
          <w:u w:val="single"/>
        </w:rPr>
      </w:pPr>
    </w:p>
    <w:tbl>
      <w:tblPr>
        <w:tblW w:w="15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4118"/>
        <w:gridCol w:w="10385"/>
      </w:tblGrid>
      <w:tr w:rsidR="007F1F90" w:rsidRPr="00C7779C" w:rsidTr="00B002B2">
        <w:trPr>
          <w:jc w:val="center"/>
        </w:trPr>
        <w:tc>
          <w:tcPr>
            <w:tcW w:w="816" w:type="dxa"/>
          </w:tcPr>
          <w:p w:rsidR="007F1F90" w:rsidRDefault="007F1F90" w:rsidP="00B002B2">
            <w:pPr>
              <w:spacing w:after="0" w:line="240" w:lineRule="auto"/>
              <w:jc w:val="both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957711">
              <w:rPr>
                <w:rFonts w:ascii="Book Antiqua" w:hAnsi="Book Antiqua" w:cs="Arial"/>
                <w:b/>
              </w:rPr>
              <w:t>S</w:t>
            </w:r>
            <w:r>
              <w:rPr>
                <w:rFonts w:ascii="Book Antiqua" w:hAnsi="Book Antiqua" w:cs="Arial"/>
                <w:b/>
              </w:rPr>
              <w:t>I</w:t>
            </w:r>
            <w:r w:rsidRPr="00957711">
              <w:rPr>
                <w:rFonts w:ascii="Book Antiqua" w:hAnsi="Book Antiqua" w:cs="Arial"/>
                <w:b/>
              </w:rPr>
              <w:t>.</w:t>
            </w:r>
            <w:r>
              <w:rPr>
                <w:rFonts w:ascii="Book Antiqua" w:hAnsi="Book Antiqua" w:cs="Arial"/>
                <w:b/>
              </w:rPr>
              <w:t>No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7F1F90" w:rsidRPr="00641D5E" w:rsidRDefault="007F1F90" w:rsidP="00B002B2">
            <w:pPr>
              <w:pStyle w:val="BodyText"/>
              <w:spacing w:before="38"/>
              <w:ind w:left="23" w:right="169"/>
              <w:jc w:val="both"/>
              <w:rPr>
                <w:rFonts w:ascii="Book Antiqua" w:hAnsi="Book Antiqua"/>
                <w:b/>
                <w:sz w:val="12"/>
                <w:shd w:val="clear" w:color="auto" w:fill="D9D9D9"/>
              </w:rPr>
            </w:pPr>
            <w:r w:rsidRPr="00957711">
              <w:rPr>
                <w:rFonts w:ascii="Book Antiqua" w:hAnsi="Book Antiqua" w:cs="Arial"/>
                <w:b/>
              </w:rPr>
              <w:t xml:space="preserve">Objection of Sri R. V. </w:t>
            </w:r>
            <w:proofErr w:type="spellStart"/>
            <w:r w:rsidRPr="00957711">
              <w:rPr>
                <w:rFonts w:ascii="Book Antiqua" w:hAnsi="Book Antiqua" w:cs="Arial"/>
                <w:b/>
              </w:rPr>
              <w:t>Subba</w:t>
            </w:r>
            <w:proofErr w:type="spellEnd"/>
            <w:r w:rsidRPr="00957711">
              <w:rPr>
                <w:rFonts w:ascii="Book Antiqua" w:hAnsi="Book Antiqua" w:cs="Arial"/>
                <w:b/>
              </w:rPr>
              <w:t xml:space="preserve"> Rao</w:t>
            </w:r>
          </w:p>
        </w:tc>
        <w:tc>
          <w:tcPr>
            <w:tcW w:w="10385" w:type="dxa"/>
          </w:tcPr>
          <w:p w:rsidR="007F1F90" w:rsidRDefault="007F1F90" w:rsidP="00B002B2">
            <w:pPr>
              <w:pStyle w:val="BodyText"/>
              <w:spacing w:before="38"/>
              <w:ind w:left="23" w:right="169"/>
              <w:jc w:val="center"/>
              <w:rPr>
                <w:rFonts w:ascii="Book Antiqua" w:hAnsi="Book Antiqua"/>
              </w:rPr>
            </w:pPr>
            <w:r w:rsidRPr="00957711">
              <w:rPr>
                <w:rFonts w:ascii="Book Antiqua" w:hAnsi="Book Antiqua" w:cs="Arial"/>
                <w:b/>
              </w:rPr>
              <w:t>Reply of TGTRANSCO</w:t>
            </w:r>
          </w:p>
        </w:tc>
      </w:tr>
      <w:tr w:rsidR="007F1F90" w:rsidRPr="00C7779C" w:rsidTr="00B002B2">
        <w:trPr>
          <w:jc w:val="center"/>
        </w:trPr>
        <w:tc>
          <w:tcPr>
            <w:tcW w:w="816" w:type="dxa"/>
            <w:vAlign w:val="center"/>
          </w:tcPr>
          <w:p w:rsidR="007F1F90" w:rsidRPr="00C7779C" w:rsidRDefault="007F1F90" w:rsidP="00B002B2">
            <w:pPr>
              <w:spacing w:after="0" w:line="240" w:lineRule="auto"/>
              <w:jc w:val="bot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5.1</w:t>
            </w:r>
          </w:p>
        </w:tc>
        <w:tc>
          <w:tcPr>
            <w:tcW w:w="4118" w:type="dxa"/>
            <w:shd w:val="clear" w:color="auto" w:fill="auto"/>
          </w:tcPr>
          <w:p w:rsidR="007F1F90" w:rsidRPr="00641D5E" w:rsidRDefault="007F1F90" w:rsidP="00B002B2">
            <w:pPr>
              <w:pStyle w:val="Heading3"/>
              <w:rPr>
                <w:rFonts w:ascii="Book Antiqua" w:hAnsi="Book Antiqua"/>
                <w:b/>
                <w:color w:val="auto"/>
                <w:sz w:val="12"/>
                <w:shd w:val="clear" w:color="auto" w:fill="D9D9D9"/>
              </w:rPr>
            </w:pPr>
          </w:p>
          <w:p w:rsidR="007F1F90" w:rsidRPr="001E6C9C" w:rsidRDefault="007F1F90" w:rsidP="00B002B2">
            <w:pPr>
              <w:pStyle w:val="BodyText"/>
              <w:spacing w:before="41"/>
              <w:ind w:left="23" w:right="166"/>
              <w:jc w:val="both"/>
              <w:rPr>
                <w:rFonts w:ascii="Book Antiqua" w:hAnsi="Book Antiqua"/>
              </w:rPr>
            </w:pPr>
            <w:r w:rsidRPr="001E6C9C">
              <w:rPr>
                <w:rFonts w:ascii="Book Antiqua" w:hAnsi="Book Antiqua"/>
              </w:rPr>
              <w:t>Employee Cost Escalation</w:t>
            </w:r>
          </w:p>
          <w:p w:rsidR="007F1F90" w:rsidRDefault="007F1F90" w:rsidP="00B002B2">
            <w:pPr>
              <w:pStyle w:val="BodyText"/>
              <w:spacing w:before="41"/>
              <w:ind w:left="23" w:right="166"/>
              <w:jc w:val="both"/>
              <w:rPr>
                <w:rFonts w:ascii="CIDFont+F2" w:eastAsiaTheme="minorHAnsi" w:hAnsi="CIDFont+F2" w:cs="CIDFont+F2"/>
                <w:lang w:val="en-IN"/>
              </w:rPr>
            </w:pPr>
            <w:r>
              <w:rPr>
                <w:rFonts w:ascii="Book Antiqua" w:hAnsi="Book Antiqua"/>
              </w:rPr>
              <w:t xml:space="preserve">Despite </w:t>
            </w:r>
            <w:r w:rsidRPr="001E6C9C">
              <w:rPr>
                <w:rFonts w:ascii="Book Antiqua" w:hAnsi="Book Antiqua"/>
              </w:rPr>
              <w:t>increasing automation, employee costs are projected to rise</w:t>
            </w:r>
            <w:r>
              <w:rPr>
                <w:rFonts w:ascii="CIDFont+F2" w:eastAsiaTheme="minorHAnsi" w:hAnsi="CIDFont+F2" w:cs="CIDFont+F2"/>
                <w:lang w:val="en-IN"/>
              </w:rPr>
              <w:t>.</w:t>
            </w:r>
          </w:p>
          <w:p w:rsidR="007F1F90" w:rsidRPr="001E6C9C" w:rsidRDefault="007F1F90" w:rsidP="00B002B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1E6C9C">
              <w:rPr>
                <w:rFonts w:ascii="Book Antiqua" w:hAnsi="Book Antiqua"/>
                <w:sz w:val="24"/>
                <w:szCs w:val="24"/>
              </w:rPr>
              <w:t>Submission:</w:t>
            </w:r>
          </w:p>
          <w:p w:rsidR="007F1F90" w:rsidRDefault="007F1F90" w:rsidP="00B002B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1E6C9C">
              <w:rPr>
                <w:rFonts w:ascii="Book Antiqua" w:hAnsi="Book Antiqua" w:hint="eastAsia"/>
                <w:sz w:val="24"/>
                <w:szCs w:val="24"/>
              </w:rPr>
              <w:t></w:t>
            </w:r>
            <w:r w:rsidRPr="001E6C9C">
              <w:rPr>
                <w:rFonts w:ascii="Book Antiqua" w:hAnsi="Book Antiqua"/>
                <w:sz w:val="24"/>
                <w:szCs w:val="24"/>
              </w:rPr>
              <w:t xml:space="preserve"> Benchmark employee cost per </w:t>
            </w:r>
            <w:r>
              <w:rPr>
                <w:rFonts w:ascii="Book Antiqua" w:hAnsi="Book Antiqua"/>
                <w:sz w:val="24"/>
                <w:szCs w:val="24"/>
              </w:rPr>
              <w:t xml:space="preserve">   </w:t>
            </w:r>
          </w:p>
          <w:p w:rsidR="007F1F90" w:rsidRPr="001E6C9C" w:rsidRDefault="007F1F90" w:rsidP="00B002B2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    </w:t>
            </w:r>
            <w:r w:rsidRPr="001E6C9C">
              <w:rPr>
                <w:rFonts w:ascii="Book Antiqua" w:hAnsi="Book Antiqua"/>
                <w:sz w:val="24"/>
                <w:szCs w:val="24"/>
              </w:rPr>
              <w:t>substation against peer utilities</w:t>
            </w:r>
          </w:p>
          <w:p w:rsidR="007F1F90" w:rsidRPr="001E6C9C" w:rsidRDefault="007F1F90" w:rsidP="00B002B2">
            <w:pPr>
              <w:pStyle w:val="BodyText"/>
              <w:spacing w:before="41"/>
              <w:ind w:left="23" w:right="166"/>
              <w:jc w:val="both"/>
              <w:rPr>
                <w:rFonts w:ascii="Book Antiqua" w:hAnsi="Book Antiqua"/>
              </w:rPr>
            </w:pPr>
            <w:r w:rsidRPr="001E6C9C">
              <w:rPr>
                <w:rFonts w:ascii="MS Mincho" w:eastAsia="MS Mincho" w:hAnsi="MS Mincho" w:cs="MS Mincho" w:hint="eastAsia"/>
              </w:rPr>
              <w:t></w:t>
            </w:r>
            <w:r w:rsidRPr="001E6C9C">
              <w:rPr>
                <w:rFonts w:ascii="Book Antiqua" w:hAnsi="Book Antiqua"/>
              </w:rPr>
              <w:t xml:space="preserve">Restrict SLDC recruitment to </w:t>
            </w:r>
            <w:r>
              <w:rPr>
                <w:rFonts w:ascii="Book Antiqua" w:hAnsi="Book Antiqua"/>
              </w:rPr>
              <w:t xml:space="preserve">                          </w:t>
            </w:r>
            <w:r w:rsidRPr="001E6C9C">
              <w:rPr>
                <w:rFonts w:ascii="Book Antiqua" w:hAnsi="Book Antiqua"/>
              </w:rPr>
              <w:t>essential technical roles only</w:t>
            </w:r>
          </w:p>
        </w:tc>
        <w:tc>
          <w:tcPr>
            <w:tcW w:w="10385" w:type="dxa"/>
          </w:tcPr>
          <w:p w:rsidR="007F1F90" w:rsidRDefault="007F1F90" w:rsidP="00B002B2">
            <w:pPr>
              <w:pStyle w:val="BodyText"/>
              <w:spacing w:before="38"/>
              <w:ind w:left="23" w:right="169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actual increase in Employee benefit expenses for the FY 2024-25 is Rs.2.71 crores when compared to actual employee cost of the FY 2023-24(i.e., Rs.55.72 Crores – Rs.53.01 Crores)</w:t>
            </w:r>
          </w:p>
          <w:p w:rsidR="007F1F90" w:rsidRPr="00C7779C" w:rsidRDefault="007F1F90" w:rsidP="00B002B2">
            <w:pPr>
              <w:pStyle w:val="BodyText"/>
              <w:spacing w:before="38"/>
              <w:ind w:left="23" w:right="169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Further, t</w:t>
            </w:r>
            <w:r w:rsidRPr="00C7779C">
              <w:rPr>
                <w:rFonts w:ascii="Book Antiqua" w:hAnsi="Book Antiqua"/>
              </w:rPr>
              <w:t>he Employee expenses for the FY 2024-25 has increased mainly on account of regular annual grade increment, Encashment of earned leave by the e</w:t>
            </w:r>
            <w:r>
              <w:rPr>
                <w:rFonts w:ascii="Book Antiqua" w:hAnsi="Book Antiqua"/>
              </w:rPr>
              <w:t>mployees and Dearness allowance and also includes A</w:t>
            </w:r>
            <w:r w:rsidRPr="008F5E7B">
              <w:rPr>
                <w:rFonts w:ascii="Book Antiqua" w:hAnsi="Book Antiqua"/>
              </w:rPr>
              <w:t xml:space="preserve">ctuarial </w:t>
            </w:r>
            <w:r>
              <w:rPr>
                <w:rFonts w:ascii="Book Antiqua" w:hAnsi="Book Antiqua"/>
              </w:rPr>
              <w:t>Valuation Liability towards employee terminal benefits.</w:t>
            </w:r>
          </w:p>
          <w:p w:rsidR="00E7599A" w:rsidRDefault="00E7599A" w:rsidP="00B002B2">
            <w:pPr>
              <w:pStyle w:val="BodyText"/>
              <w:spacing w:before="38"/>
              <w:ind w:left="23" w:right="169"/>
              <w:jc w:val="both"/>
              <w:rPr>
                <w:rFonts w:ascii="Book Antiqua" w:hAnsi="Book Antiqua"/>
              </w:rPr>
            </w:pPr>
          </w:p>
          <w:p w:rsidR="007F1F90" w:rsidRPr="00C7779C" w:rsidRDefault="007F1F90" w:rsidP="00B002B2">
            <w:pPr>
              <w:pStyle w:val="BodyText"/>
              <w:spacing w:before="38"/>
              <w:ind w:left="23" w:right="169"/>
              <w:jc w:val="both"/>
              <w:rPr>
                <w:rFonts w:ascii="Book Antiqua" w:hAnsi="Book Antiqua"/>
              </w:rPr>
            </w:pPr>
            <w:r w:rsidRPr="00C7779C">
              <w:rPr>
                <w:rFonts w:ascii="Book Antiqua" w:hAnsi="Book Antiqua"/>
              </w:rPr>
              <w:t xml:space="preserve">However, </w:t>
            </w:r>
            <w:r>
              <w:rPr>
                <w:rFonts w:ascii="Book Antiqua" w:hAnsi="Book Antiqua"/>
              </w:rPr>
              <w:t xml:space="preserve">as per clause 89.3 of regulation 2 of 2023 </w:t>
            </w:r>
            <w:r w:rsidRPr="00C7779C">
              <w:rPr>
                <w:rFonts w:ascii="Book Antiqua" w:hAnsi="Book Antiqua"/>
              </w:rPr>
              <w:t>Employee Cost for the year is arrived by increasing the previous year employee cost at an inflation rate of Consumer price index. But in actual practice an Employee</w:t>
            </w:r>
            <w:r>
              <w:rPr>
                <w:rFonts w:ascii="Book Antiqua" w:hAnsi="Book Antiqua"/>
              </w:rPr>
              <w:t>s</w:t>
            </w:r>
            <w:r w:rsidRPr="00C7779C">
              <w:rPr>
                <w:rFonts w:ascii="Book Antiqua" w:hAnsi="Book Antiqua"/>
              </w:rPr>
              <w:t xml:space="preserve"> will receive annual grade increment and Encashment of leave salary but the same was not considered in Commission methodology.</w:t>
            </w:r>
          </w:p>
          <w:p w:rsidR="007F1F90" w:rsidRDefault="007F1F90" w:rsidP="00B002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  <w:p w:rsidR="007F1F90" w:rsidRPr="00C7779C" w:rsidRDefault="007F1F90" w:rsidP="00B002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C7779C">
              <w:rPr>
                <w:rFonts w:ascii="Book Antiqua" w:hAnsi="Book Antiqua"/>
                <w:sz w:val="24"/>
                <w:szCs w:val="24"/>
              </w:rPr>
              <w:t>In view of the above, the actual employee cost for the FY 2024-25 was increased when compared to approved employee benefit expenses for the year.</w:t>
            </w:r>
          </w:p>
        </w:tc>
      </w:tr>
    </w:tbl>
    <w:p w:rsidR="007F1F90" w:rsidRPr="00957711" w:rsidRDefault="007F1F90" w:rsidP="007F1F90">
      <w:pPr>
        <w:contextualSpacing/>
        <w:mirrorIndents/>
        <w:jc w:val="center"/>
        <w:rPr>
          <w:rFonts w:ascii="Book Antiqua" w:hAnsi="Book Antiqua" w:cs="Arial"/>
          <w:b/>
          <w:u w:val="single"/>
        </w:rPr>
      </w:pPr>
    </w:p>
    <w:p w:rsidR="007F1F90" w:rsidRPr="00957711" w:rsidRDefault="007F1F90" w:rsidP="007F1F90">
      <w:pPr>
        <w:contextualSpacing/>
        <w:mirrorIndents/>
        <w:jc w:val="center"/>
        <w:rPr>
          <w:rFonts w:ascii="Book Antiqua" w:hAnsi="Book Antiqua" w:cs="Arial"/>
          <w:b/>
          <w:u w:val="single"/>
        </w:rPr>
      </w:pPr>
    </w:p>
    <w:p w:rsidR="008353CA" w:rsidRDefault="008353CA"/>
    <w:sectPr w:rsidR="008353CA" w:rsidSect="00EE559A">
      <w:footerReference w:type="default" r:id="rId6"/>
      <w:pgSz w:w="16838" w:h="11906" w:orient="landscape" w:code="9"/>
      <w:pgMar w:top="567" w:right="426" w:bottom="566" w:left="993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4DB" w:rsidRDefault="003C34DB" w:rsidP="007F1F90">
      <w:pPr>
        <w:spacing w:after="0" w:line="240" w:lineRule="auto"/>
      </w:pPr>
      <w:r>
        <w:separator/>
      </w:r>
    </w:p>
  </w:endnote>
  <w:endnote w:type="continuationSeparator" w:id="0">
    <w:p w:rsidR="003C34DB" w:rsidRDefault="003C34DB" w:rsidP="007F1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F90" w:rsidRPr="007F1F90" w:rsidRDefault="007F1F90">
    <w:pPr>
      <w:pStyle w:val="Footer"/>
      <w:jc w:val="center"/>
      <w:rPr>
        <w:caps/>
        <w:noProof/>
      </w:rPr>
    </w:pPr>
    <w:r w:rsidRPr="007F1F90">
      <w:rPr>
        <w:caps/>
      </w:rPr>
      <w:fldChar w:fldCharType="begin"/>
    </w:r>
    <w:r w:rsidRPr="007F1F90">
      <w:rPr>
        <w:caps/>
      </w:rPr>
      <w:instrText xml:space="preserve"> PAGE   \* MERGEFORMAT </w:instrText>
    </w:r>
    <w:r w:rsidRPr="007F1F90">
      <w:rPr>
        <w:caps/>
      </w:rPr>
      <w:fldChar w:fldCharType="separate"/>
    </w:r>
    <w:r w:rsidR="000F0CF6">
      <w:rPr>
        <w:caps/>
        <w:noProof/>
      </w:rPr>
      <w:t>1</w:t>
    </w:r>
    <w:r w:rsidRPr="007F1F90">
      <w:rPr>
        <w:caps/>
        <w:noProof/>
      </w:rPr>
      <w:fldChar w:fldCharType="end"/>
    </w:r>
  </w:p>
  <w:p w:rsidR="007F1F90" w:rsidRDefault="007F1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4DB" w:rsidRDefault="003C34DB" w:rsidP="007F1F90">
      <w:pPr>
        <w:spacing w:after="0" w:line="240" w:lineRule="auto"/>
      </w:pPr>
      <w:r>
        <w:separator/>
      </w:r>
    </w:p>
  </w:footnote>
  <w:footnote w:type="continuationSeparator" w:id="0">
    <w:p w:rsidR="003C34DB" w:rsidRDefault="003C34DB" w:rsidP="007F1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63"/>
    <w:rsid w:val="000F0CF6"/>
    <w:rsid w:val="00103BA2"/>
    <w:rsid w:val="003C34DB"/>
    <w:rsid w:val="007F1F90"/>
    <w:rsid w:val="008353CA"/>
    <w:rsid w:val="00E21D63"/>
    <w:rsid w:val="00E7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E1885"/>
  <w15:chartTrackingRefBased/>
  <w15:docId w15:val="{5F807C7D-6064-4B06-B596-3063B219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F90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1F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1F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F1F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1F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F1F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F90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F1F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F90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TGTRANSCO</dc:creator>
  <cp:keywords/>
  <dc:description/>
  <cp:lastModifiedBy>TGTRANSCO</cp:lastModifiedBy>
  <cp:revision>4</cp:revision>
  <dcterms:created xsi:type="dcterms:W3CDTF">2026-01-19T10:52:00Z</dcterms:created>
  <dcterms:modified xsi:type="dcterms:W3CDTF">2026-01-20T05:23:00Z</dcterms:modified>
</cp:coreProperties>
</file>